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right"/>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Утверждена</w:t>
      </w:r>
      <w:r>
        <w:rPr>
          <w:rFonts w:hint="default" w:ascii="Calibri" w:hAnsi="Calibri" w:cs="Calibri"/>
          <w:i w:val="0"/>
          <w:iCs w:val="0"/>
          <w:caps w:val="0"/>
          <w:color w:val="444444"/>
          <w:spacing w:val="0"/>
          <w:sz w:val="19"/>
          <w:szCs w:val="19"/>
          <w:bdr w:val="none" w:color="auto" w:sz="0" w:space="0"/>
          <w:shd w:val="clear" w:fill="FFFFFF"/>
          <w:vertAlign w:val="baseline"/>
        </w:rPr>
        <w:br w:type="textWrapping"/>
      </w:r>
      <w:r>
        <w:rPr>
          <w:rFonts w:hint="default" w:ascii="Calibri" w:hAnsi="Calibri" w:cs="Calibri"/>
          <w:i w:val="0"/>
          <w:iCs w:val="0"/>
          <w:caps w:val="0"/>
          <w:color w:val="444444"/>
          <w:spacing w:val="0"/>
          <w:sz w:val="19"/>
          <w:szCs w:val="19"/>
          <w:bdr w:val="none" w:color="auto" w:sz="0" w:space="0"/>
          <w:shd w:val="clear" w:fill="FFFFFF"/>
          <w:vertAlign w:val="baseline"/>
        </w:rPr>
        <w:t>Постановлением</w:t>
      </w:r>
      <w:r>
        <w:rPr>
          <w:rFonts w:hint="default" w:ascii="Calibri" w:hAnsi="Calibri" w:cs="Calibri"/>
          <w:i w:val="0"/>
          <w:iCs w:val="0"/>
          <w:caps w:val="0"/>
          <w:color w:val="444444"/>
          <w:spacing w:val="0"/>
          <w:sz w:val="19"/>
          <w:szCs w:val="19"/>
          <w:bdr w:val="none" w:color="auto" w:sz="0" w:space="0"/>
          <w:shd w:val="clear" w:fill="FFFFFF"/>
          <w:vertAlign w:val="baseline"/>
        </w:rPr>
        <w:br w:type="textWrapping"/>
      </w:r>
      <w:r>
        <w:rPr>
          <w:rFonts w:hint="default" w:ascii="Calibri" w:hAnsi="Calibri" w:cs="Calibri"/>
          <w:i w:val="0"/>
          <w:iCs w:val="0"/>
          <w:caps w:val="0"/>
          <w:color w:val="444444"/>
          <w:spacing w:val="0"/>
          <w:sz w:val="19"/>
          <w:szCs w:val="19"/>
          <w:bdr w:val="none" w:color="auto" w:sz="0" w:space="0"/>
          <w:shd w:val="clear" w:fill="FFFFFF"/>
          <w:vertAlign w:val="baseline"/>
        </w:rPr>
        <w:t>Правительства Самарской области</w:t>
      </w:r>
      <w:r>
        <w:rPr>
          <w:rFonts w:hint="default" w:ascii="Calibri" w:hAnsi="Calibri" w:cs="Calibri"/>
          <w:i w:val="0"/>
          <w:iCs w:val="0"/>
          <w:caps w:val="0"/>
          <w:color w:val="444444"/>
          <w:spacing w:val="0"/>
          <w:sz w:val="19"/>
          <w:szCs w:val="19"/>
          <w:bdr w:val="none" w:color="auto" w:sz="0" w:space="0"/>
          <w:shd w:val="clear" w:fill="FFFFFF"/>
          <w:vertAlign w:val="baseline"/>
        </w:rPr>
        <w:br w:type="textWrapping"/>
      </w:r>
      <w:r>
        <w:rPr>
          <w:rFonts w:hint="default" w:ascii="Calibri" w:hAnsi="Calibri" w:cs="Calibri"/>
          <w:i w:val="0"/>
          <w:iCs w:val="0"/>
          <w:caps w:val="0"/>
          <w:color w:val="444444"/>
          <w:spacing w:val="0"/>
          <w:sz w:val="19"/>
          <w:szCs w:val="19"/>
          <w:bdr w:val="none" w:color="auto" w:sz="0" w:space="0"/>
          <w:shd w:val="clear" w:fill="FFFFFF"/>
          <w:vertAlign w:val="baseline"/>
        </w:rPr>
        <w:t>от 27 ноября 2013 г. N 673</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textAlignment w:val="baseline"/>
        <w:rPr>
          <w:rFonts w:hint="default" w:ascii="Calibri" w:hAnsi="Calibri" w:cs="Calibri"/>
          <w:b/>
          <w:bCs/>
          <w:i w:val="0"/>
          <w:iCs w:val="0"/>
          <w:caps w:val="0"/>
          <w:color w:val="444444"/>
          <w:spacing w:val="0"/>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bookmarkStart w:id="0" w:name="_GoBack"/>
      <w:r>
        <w:rPr>
          <w:rFonts w:hint="default" w:ascii="Calibri" w:hAnsi="Calibri" w:cs="Calibri"/>
          <w:b/>
          <w:bCs/>
          <w:i w:val="0"/>
          <w:iCs w:val="0"/>
          <w:caps w:val="0"/>
          <w:color w:val="444444"/>
          <w:spacing w:val="0"/>
          <w:sz w:val="19"/>
          <w:szCs w:val="19"/>
          <w:bdr w:val="none" w:color="auto" w:sz="0" w:space="0"/>
          <w:shd w:val="clear" w:fill="FFFFFF"/>
          <w:vertAlign w:val="baseline"/>
        </w:rPr>
        <w:t>ГОСУДАРСТВЕННАЯ ПРОГРАММА САМАРСКОЙ ОБЛАСТИ "ПРОТИВОДЕЙСТВИЕ КОРРУПЦИИ В САМАРСКОЙ ОБЛАСТИ НА 2014 - 2024 ГОДЫ" (ДАЛЕЕ - ГОСУДАРСТВЕННАЯ ПРОГРАММА)</w:t>
      </w:r>
      <w:bookmarkEnd w:id="0"/>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ред.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"https://docs.cntd.ru/document/550242580"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Постановлений Правительства Самарской области от 30.10.2018 N 618</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"https://docs.cntd.ru/document/550312458"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от 27.12.2018 N 857</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от 13.03.2019 N 126,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"https://docs.cntd.ru/document/561629362"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от 27.11.2019 N 854</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от 02.02.2021 N 41,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"https://docs.cntd.ru/document/577901810"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от 29.09.2021 N 739</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от 03.10.2022 N 826)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center"/>
        <w:textAlignment w:val="baseline"/>
        <w:rPr>
          <w:rFonts w:hint="default" w:ascii="Calibri" w:hAnsi="Calibri" w:cs="Calibri"/>
          <w:b/>
          <w:bCs/>
          <w:i w:val="0"/>
          <w:iCs w:val="0"/>
          <w:caps w:val="0"/>
          <w:color w:val="444444"/>
          <w:spacing w:val="0"/>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t>ПАСПОРТ ГОСУДАРСТВЕННОЙ ПРОГРАММЫ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00" w:type="dxa"/>
          <w:left w:w="100" w:type="dxa"/>
          <w:bottom w:w="100" w:type="dxa"/>
          <w:right w:w="100" w:type="dxa"/>
        </w:tblCellMar>
      </w:tblPr>
      <w:tblGrid>
        <w:gridCol w:w="2730"/>
        <w:gridCol w:w="259"/>
        <w:gridCol w:w="5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rPr>
          <w:trHeight w:val="12" w:hRule="atLeast"/>
        </w:trPr>
        <w:tc>
          <w:tcPr>
            <w:tcW w:w="2730" w:type="dxa"/>
            <w:tcBorders>
              <w:top w:val="nil"/>
              <w:left w:val="nil"/>
              <w:bottom w:val="nil"/>
              <w:right w:val="nil"/>
            </w:tcBorders>
            <w:shd w:val="clear"/>
            <w:vAlign w:val="top"/>
          </w:tcPr>
          <w:p>
            <w:pPr>
              <w:rPr>
                <w:rFonts w:hint="default" w:ascii="Calibri" w:hAnsi="Calibri" w:cs="Calibri"/>
                <w:sz w:val="19"/>
                <w:szCs w:val="19"/>
              </w:rPr>
            </w:pPr>
          </w:p>
        </w:tc>
        <w:tc>
          <w:tcPr>
            <w:tcW w:w="210" w:type="dxa"/>
            <w:tcBorders>
              <w:top w:val="nil"/>
              <w:left w:val="nil"/>
              <w:bottom w:val="nil"/>
              <w:right w:val="nil"/>
            </w:tcBorders>
            <w:shd w:val="clear"/>
            <w:vAlign w:val="top"/>
          </w:tcPr>
          <w:p>
            <w:pPr>
              <w:rPr>
                <w:rFonts w:hint="default" w:ascii="Calibri" w:hAnsi="Calibri" w:cs="Calibri"/>
                <w:sz w:val="19"/>
                <w:szCs w:val="19"/>
              </w:rPr>
            </w:pPr>
          </w:p>
        </w:tc>
        <w:tc>
          <w:tcPr>
            <w:tcW w:w="4830" w:type="dxa"/>
            <w:tcBorders>
              <w:top w:val="nil"/>
              <w:left w:val="nil"/>
              <w:bottom w:val="nil"/>
              <w:right w:val="nil"/>
            </w:tcBorders>
            <w:shd w:val="clear"/>
            <w:vAlign w:val="top"/>
          </w:tcPr>
          <w:p>
            <w:pPr>
              <w:rPr>
                <w:rFonts w:hint="default" w:ascii="Calibri" w:hAnsi="Calibri" w:cs="Calibri"/>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НАИМЕНОВАНИЕ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государственная программа Самарской области "Противодействие коррупции в Самарской области на 2014 - 2024 годы"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819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02.02.2021 N 41, от 03.10.2022 N 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ДАТА ПРИНЯТИЯ РЕШЕНИЯ О РАЗРАБОТКЕ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поручение вице-губернатора - председателя Правительства Самарской области Нефедова А.П. от 16.08.2013 N 6-20/517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ОТВЕТСТВЕННЫЙ ИСПОЛНИТЕЛЬ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департамент по вопросам правопорядка и противодействия коррупции Самарской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СОИСПОЛНИТЕЛИ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отсутствуют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УЧАСТНИКИ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органы государственной власти (Администрация Губернатора Самарской области, департамент (представительство Самарской области) по взаимодействию с федеральными органами государственной власти, министерство здравоохранения Самарской области, министерство имущественных отношений Самарской области, министерство культуры Самарской области, министерство промышленности и торговли Самарской области, министерство образования и науки Самарской области, министерство лесного хозяйства, охраны окружающей среды и природопользования Самарской области, министерство сельского хозяйства и продовольствия Самарской области, министерство социально-демографической и семейной политики Самарской области, министерство спорта Самарской области, министерство строительства Самарской области, министерство энергетики и жилищно-коммунального хозяйства Самарской области, министерство транспорта и автомобильных дорог Самарской области, министерство управления финансами Самарской области, министерство экономического развития и инвестиций Самарской области, министерство труда, занятости и миграционной политики Самарской области, министерство туризма Самарской области, департамент управления делами Губернатора Самарской области и Правительства Самарской области, департамент по вопросам общественной безопасности Самарской области, департамент внутренней политики Самарской области, управление государственной архивной службы Самарской области, департамент охоты и рыболовства Самарской области, департамент ветеринарии Самарской области, департамент информационных технологий и связи Самарской области, департамент ценового и тарифного регулирования Самарской области, Главное управление по мобилизационным вопросам Самарской области, Главное управление организации торгов Самарской области, государственная инспекция строительного надзора Самарской области, государственная жилищная инспекция Самарской области, управление записи актов гражданского состояния Самарской области, служба мировых судей Самарской области, управление государственной охраны объектов культурного наследия Самарской области, государственная инспекция финансового контроля Самарской области, управление по защите государственной тайны Самарской области), подведомственные им учреждения, Уполномоченный по правам человека в Самарской области, Счетная палата Самарской области, образовательные организации высшего образования (по согласованию), общественные объединения, участвующие в деятельности по противодействию коррупции (по согласованию), органы местного самоуправления муниципальных образований Самарской области, государственное автономное учреждение Самарской области "Информационный аналитический центр Самарской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819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"https://docs.cntd.ru/document/550312458"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27.12.2018 N 857</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13.03.2019 N 126, от 03.10.2022 N 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ЦЕЛЬ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снижение уровня коррупции в Самарской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ЗАДАЧИ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совершенствование нормативного правового регулирования в сфере противодействия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 укрепление их связи с гражданским обществом, стимулирование антикоррупционной активности общественности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СТРАТЕГИЧЕСКИЙ ПОКАЗАТЕЛЬ (ИНДИКАТОР)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граждан, считающих высоким уровень коррупции в Самарской области, в общем числе опрошенных граждан, проживающих на территории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ТАКТИЧЕСКИЕ ПОКАЗАТЕЛИ (ИНДИКАТОРЫ)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органов государственной власти Самарской области, в которых разработаны и реализуются ведомственные целевые антикоррупционные программы, в общем количестве органов государственной власти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городских округов и муниципальных районов Самарской области, в которых разработаны и реализуются муниципальные антикоррупционные программы, в общем количестве городских округов и муниципальных районов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органов государственной власти Самарской области, органов местного самоуправления городских округов и муниципальных районов Самарской области, внедривших антикоррупционные механизмы в кадровую политику, направленные на предупреждение и пресечение коррупции, в общем количестве органов государственной власти Самарской области, органов местного самоуправления городских округов и муниципальных районов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органов государственной власти Самарской области, органов местного самоуправления городских округов и муниципальных районов Самарской области, на постоянной основе проводящих мониторинг в сфере противодействия коррупции, в общем количестве органов государственной власти Самарской области, органов местного самоуправления городских округов и муниципальных районов Самарской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rPr>
                <w:rFonts w:hint="default" w:ascii="Calibri" w:hAnsi="Calibri" w:cs="Calibri"/>
                <w:sz w:val="19"/>
                <w:szCs w:val="19"/>
              </w:rPr>
            </w:pP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rPr>
                <w:rFonts w:hint="default" w:ascii="Calibri" w:hAnsi="Calibri" w:cs="Calibri"/>
                <w:sz w:val="19"/>
                <w:szCs w:val="19"/>
              </w:rPr>
            </w:pP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прошедших в отчетном году антикоррупционное обучение (повышение квалификации) государственных гражданских и муниципальных служащих в их общей численности;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органов государственной власти Самарской области, органов местного самоуправления городских округов и муниципальных районов Самарской области, проводящих на постоянной основе антикоррупционные мероприятия с государственными (муниципальными) служащими, в общем количестве органов государственной власти Самарской области, органов местного самоуправления городских округов и муниципальных районов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органов государственной власти Самарской области, органов местного самоуправления городских округов и муниципальных районов Самарской области, обеспечивающих добросовестность, прозрачность деятельности в сфере организации и проведения закупок товаров, работ, услуг для обеспечения государственных (муниципальных) нужд, в общем количестве органов государственной власти Самарской области, органов местного самоуправления городских округов и муниципальных районов Самарской области;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rPr>
                <w:rFonts w:hint="default" w:ascii="Calibri" w:hAnsi="Calibri" w:cs="Calibri"/>
                <w:sz w:val="19"/>
                <w:szCs w:val="19"/>
              </w:rPr>
            </w:pP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rPr>
                <w:rFonts w:hint="default" w:ascii="Calibri" w:hAnsi="Calibri" w:cs="Calibri"/>
                <w:sz w:val="19"/>
                <w:szCs w:val="19"/>
              </w:rPr>
            </w:pP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граждан, удовлетворенных деятельностью органов государственной власти Самарской области, органов местного самоуправления муниципальных образований в Самарской области по противодействию коррупции, в общем числе опрошенных граждан, проживающих на территории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граждан, осуждающих людей, дающих или берущих взятки, в общем числе опрошенных граждан, проживающих на территории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количество публикаций и иных материалов антикоррупционной тематики, размещенных в средствах массовой информации;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граждан, удовлетворенных качеством информации по вопросам противодействия и борьбы с коррупцией в Самарской области, размещаемой в региональных средствах массовой информации, а также с применением методов и средств наглядной агитации, в общем количестве опрошенных граждан;</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доля граждан, осведомленных о мерах, предпринимаемых органами государственного управления в целях противодействия коррупции, в общем количестве опрошенных граждан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819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"https://docs.cntd.ru/document/574610822"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Постановления Правительства Самарской области от 02.02.2021 N 41</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ПОДПРОГРАММЫ С УКАЗАНИЕМ ЦЕЛЕЙ И СРОКОВ ИХ РЕАЛИЗАЦИИ</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отсутствуют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ИНЫЕ ПРОГРАММЫ С УКАЗАНИЕМ ЦЕЛЕЙ И СРОКОВ РЕАЛИЗАЦИИ</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отсутствуют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ПЛАНЫ МЕРОПРИЯТИЙ С УКАЗАНИЕМ СРОКОВ РЕАЛИЗАЦИИ</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отсутствуют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ЭТАПЫ И СРОКИ РЕАЛИЗАЦИИ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2014 - 2024 годы. Государственная программа реализуется в пять этапов:</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 этап - 2014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II этап - 2015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III этап - 2016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IV этап - 2017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V этап - 2018 - 2024 годы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819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02.02.2021 N 41, от 03.10.2022 N 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ОБЪЕМЫ БЮДЖЕТНЫХ АССИГНОВАНИЙ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общий объем финансирования Государственной программы за счет средств областного бюджета составляет 8 972 тыс. рублей, в том числе:</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2014 году - 1 500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2015 году - 1 500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2016 году - 1 275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2017 году - 1 275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2018 году - 1 128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2019 году - 755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2020 году - 855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2021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2022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2023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2024 году - 171 тыс. 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819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"https://docs.cntd.ru/document/550312458"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27.12.2018 N 857</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13.03.2019 N 126,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02.02.2021 N 41, от 03.10.2022 N 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00" w:type="dxa"/>
            <w:left w:w="100" w:type="dxa"/>
            <w:bottom w:w="100" w:type="dxa"/>
            <w:right w:w="100" w:type="dxa"/>
          </w:tblCellMar>
        </w:tblPrEx>
        <w:tc>
          <w:tcPr>
            <w:tcW w:w="27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РЕЗУЛЬТАТЫ РЕАЛИЗАЦИИ ГОСУДАРСТВЕННОЙ ПРОГРАММЫ</w:t>
            </w:r>
          </w:p>
        </w:tc>
        <w:tc>
          <w:tcPr>
            <w:tcW w:w="21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w:t>
            </w:r>
          </w:p>
        </w:tc>
        <w:tc>
          <w:tcPr>
            <w:tcW w:w="4830" w:type="dxa"/>
            <w:tcBorders>
              <w:top w:val="single" w:color="000000" w:sz="4" w:space="0"/>
              <w:left w:val="single" w:color="000000" w:sz="4" w:space="0"/>
              <w:bottom w:val="single" w:color="000000" w:sz="4" w:space="0"/>
              <w:right w:val="single" w:color="000000" w:sz="4" w:space="0"/>
            </w:tcBorders>
            <w:shd w:val="clear"/>
            <w:vAlign w:val="top"/>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совершенствование системы противодействия коррупции, устранение причин, порождающих коррупцию, вовлечение гражданского общества в антикоррупционный процесс</w:t>
            </w:r>
          </w:p>
        </w:tc>
      </w:tr>
    </w:tbl>
    <w:p>
      <w:pPr>
        <w:rPr>
          <w:rFonts w:hint="default" w:ascii="Calibri" w:hAnsi="Calibri" w:cs="Calibri"/>
          <w:lang w:val="en-U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t>1. Характеристика текущего состояния, основные проблемы в сфере противодействия коррупции, включая анализ причин их возникновения, показатели и анализ социальных, финансово-экономических и прочих рисков реализации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ред.</w:t>
      </w:r>
      <w:r>
        <w:rPr>
          <w:rFonts w:hint="default" w:ascii="Calibri" w:hAnsi="Calibri" w:cs="Calibri"/>
          <w:i w:val="0"/>
          <w:iCs w:val="0"/>
          <w:caps w:val="0"/>
          <w:color w:val="444444"/>
          <w:spacing w:val="0"/>
          <w:sz w:val="19"/>
          <w:szCs w:val="19"/>
          <w:bdr w:val="none" w:color="auto" w:sz="0" w:space="0"/>
          <w:shd w:val="clear" w:fill="FFFFFF"/>
          <w:vertAlign w:val="baseline"/>
        </w:rPr>
        <w:t>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Постановления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Начиная с 2009 года на территории Самарской области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государственные органы власти, представительные органы власти, органы местного самоуправления, государственные и негосударственные средства массовой информации, общественные объединения и иные представители институтов гражданского общества - субъекты антикоррупционной деятельности.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течение последних лет активизировалась работа всех субъектов антикоррупционной деятельности по реализации государственной политики в сфере противодействия коррупции, направленная на совершенствование нормативной правовой базы, а также на проведение антикоррупционной экспертизы нормативных правовых актов и их проектов.</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На постоянной основе проводится антикоррупционная экспертиза нормативных правовых актов и проектов нормативных правовых актов, в том числе силами независимых экспертов, а также при мониторинге их правоприменения.</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органах государственной власти и местного самоуправления Самарской области реализуются ведомственные (муниципальные) программы (планы) по противодействию коррупции. Департаментом по вопросам правопорядка и противодействия коррупции Самарской области (далее - департамент) на постоянной основе оказывается консультативно-методическая помощь данным органам в реализации программ по противодействию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Также, в указанных органах осуществляют деятельность комиссии по соблюдению требований к служебному поведению и урегулированию конфликта интересов; размещается на официальных сайтах органов информация о мероприятиях в сфере реализации антикоррупционной политики; внедряются элементы антикоррупционного просвещения населения при оказании государственных услуг, в том числе обеспечивается доступность для граждан информации о перечне услуг, предоставляемых бесплатно и на платной основе, доступность информации об условиях предоставления услуг; размещаются в местах оказания государственных услуг адреса и номера телефонов, по которым можно сообщить о коррупционных правонарушениях государственных гражданских служащих и работников подведомственных учреждений; организуются плановые мероприятия по противодействию коррупции в подведомственных учреждениях; регламентирован порядок уведомления представителя нанимателя о фактах обращения в целях склонения государственных гражданских служащих к совершению коррупционных правонарушений, организации проверки этих сведений и регистрации уведомлений; проводятся разъяснительно-профилактические мероприятия антикоррупционной направленности с государственными (муниципальными) служащими области; реализованы мероприятия по обеспечению условий для проведения независимой антикоррупционной экспертизы проектов нормативных правовых актов, разрабатываемых органами исполнительной власти области и местного самоуправления, в том числе на официальных сайтах органов власти созданы специальные разделы для размещения проектов нормативных правовых актов.</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рамках работы комиссии по координации работы по противодействию коррупции в Самарской области под председательством Губернатора Самарской области осуществляются мероприятия по координации и взаимодействию субъектов антикоррупционной деятельности.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соответствии с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"https://docs.cntd.ru/document/420287852"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Указом Президента Российской Федерации от 15.07.2015 N 364 "О мерах по совершенствованию организации деятельности в области противодействия коррупции"</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департамент является уполномоченным органом по профилактике коррупционных и иных правонарушений.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Необходимо отметить, что за последние годы налажена система организации и проведения курсов повышения квалификации государственных гражданских (муниципальных) служащих на базе учреждений высшего профессионального образования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Департаментом совместно с заинтересованными органами исполнительной власти Самарской области, образовательными учреждениями высшего, среднего и дополнительного профессионального образования проводятся разработка, издание и внедрение в учебный процесс справочных и учебно-методических материалов по вопросам противодействия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Самарской области ежегодно проходят научные, научно-практические конференции, заседания круглых столов и иные мероприятия по вопросам противодействия коррупции, в том числе всероссийского уровня, на которых обсуждаются наиболее важные проблемы противодействия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Следует отметить, что предпринимаемые в Самарской области меры по противодействию коррупции дают определенные позитивные результаты как в правоохранительной деятельности, так и в сфере устранения условий, способствующих коррупционным проявлениям.</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Необходимость продолжения реализации Государственной программы вызвана тем, что уровень коррупции в регионе продолжает оставаться высоким.</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Так, результаты опросов общественного мнения в 2018 году показали, что более 25% респондентов на вопрос "Как Вы считаете, насколько высок уровень коррупции в Самарской области в настоящее время?" ответили, что "очень высокий", около 22% сказали, что "высокий".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Наиболее коррумпированными сферами деятельности население считает систему здравоохранения - 40,4%, правоохранительные органы, в том числе ГИБДД - 70,1%, коммунальные службы - 26,9%, систему образования - 23,1%, органы исполнительной власти - 24,1%, органы местного самоуправления - 27,4%, органы законодательной власти - 11,7%.</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2017 году правоохранительными органами на территории Самарской области выявлено 641 преступление коррупционной направленности (в 2016 году - 509 преступлений), в том числе 199 преступлений, связанных с освоением бюджетных средств (в 2016 году - 193 преступления). В суд направлено 534 уголовных дела (в 2016 году - 470 уголовных дел).</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Подверженными коррупционным проявлениям сферами, наряду с деятельностью органов государственной власти и органов местного самоуправления, продолжают оставаться: система образования - 86 преступлений (в 2016 году - 59 преступлений), бюджетная сфера - 64 преступления (в 2016 году - 78 преступлений), жилищно-коммунальное хозяйство - 34 преступления (в 2016 году - 13 преступлений).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Решению вышеупомянутых проблем в сфере противодействия коррупции будут способствовать:</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информирование населения о ситуации в сфере противодействия коррупции в Самарской области и мерах, предпринимаемых органами государственной власти и органами местного самоуправления по реализации антикоррупционной политики;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создание условий для противодействия коррупции и предупреждение коррупционных правонарушений;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повышение качества и доступности предоставления государственных (муниципальных) услуг;</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повышение эффективности взаимодействия органов власти с гражданским обществом;</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последовательное применение имеющихся правовых, образовательных и воспитательных мер, направленных на противодействие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Некоторые мероприятия, такие как совершенствование региональных антикоррупционных нормативных правовых актов, проведение социологических исследований в целях оценки уровня коррупции в Самарской области, поддержание работы официального антикоррупционного сайта Правительства Самарской области, реализация ведомственных (муниципальных) антикоррупционных программ, проведение антикоррупционной экспертизы нормативных правовых актов и их проектов, осуществление контроля за соблюдением государственными гражданскими (муниципальными) служащими законодательства о государственной гражданской (муниципальной) службе, обучение и повышение квалификации государственных гражданских (муниципальных) служащих, обеспечение координации и взаимодействия субъектов антикоррупционной деятельности в рамках работы комиссии по координации работы по противодействию коррупции в Самарской области, реализация мер и мероприятий антикоррупционной пропаганды, требуют продолжения реализации и поэтому сохранены в Государственной программе.</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Основными рисками реализации Государственной программы являются финансовые риски, которые могут быть связаны с возникновением дефицита бюджета или изменением приоритетности финансирования государственных программ Самарской области и, соответственно, снижением уровня бюджетного финансирования, а также организационные риски (негативное отражение на достижении результатов Государственной программы, ее актуальности возможного несвоевременного внесения изменений в нормативные правовые акты, недостаточной проработанности принимаемых нормативных правовых актов и иных решений, некачественного выполнения мероприятий в связи с дефицитом времени или большим количеством рабочих задач как у исполнителей, так и у субъектов контроля): снижение риска достигается путем совершенствования информационного и научно-методического обеспечения реализации Государственной программы, оперативного реагирования на выявляемые недостатки, перераспределения рабочей нагрузки.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t>2. Долгосрочные приоритеты региональной политики в сфере противодействия коррупции, описание цели и задач Государственной программы, обоснование выбора и установления значений стратегических показателей (индикаторов) на плановый период, планируемые результаты реализации Государственной программы, характеризующие целевое состояние (изменение состояния) сферы реализации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ред.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Постановления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"https://docs.cntd.ru/document/450278243" \l "2QP6GHF"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Стратегии социально-экономического развития Самарской области на период до 2030 года</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утвержденной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"https://docs.cntd.ru/document/450278243"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12.07.2017 N 441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в числе приоритетных направлений деятельности определены повышение эффективности противодействия коррупции, повышение уровня гражданской зрелости и социально ориентированной активности жителей региона, развитие механизмов гражданского контроля и общественной экспертизы, повышение роли общественных институтов в борьбе с коррупцией, устранение административных барьеров за счет оптимизации административных процедур, повышение эффективности работы госорганов по противодействию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Целью Государственной программы является снижение уровня коррупции 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Достижение цели Государственной программы будет обеспечено за счет решения следующих задач:</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совершенствование нормативного правового регулирования в сфере противодействия коррупции;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 укрепление их связи с гражданским обществом, стимулирование антикоррупционной активности общественности.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Реализация Государственной программы в совокупности с иными антикоррупционными мерами, проводимыми в Самарской области, будет способствовать совершенствованию системы противодействия коррупции, устранению причин, порождающих коррупцию, вовлечению гражданского общества в антикоррупционный процесс.</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результате реализации Государственной программы ожидается:</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снижение уровня коррупции в органах государственной власти Самарской области и органах местного самоуправления муниципальных образований в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повышение информационной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 улучшение осведомленности граждан о степени коррупции и мерах, принимаемых всеми уровнями власти по ее сокращению;</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рост доверия населения к государству, повышение уважения граждан к государственной гражданской и муниципальной службе и статусу государственных и муниципальных служащих;</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совершенствование нормативно-правового обеспечения процессов и контроля качества предоставления государственных и муниципальных услуг;</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создание благоприятных условий для повышения правовой культуры населения и представителей органов власти, правоохранительных структур;</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повышение эффективности общественного контроля за деятельностью государственных органов Самарской области и органов местного самоуправления муниципальных образований в Самарской области, в том числе за счет более активного использования информационно-коммуникационных технологий.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Достижение эффективности функционирования органов власти является наиболее важной задачей любого государства. Одной из угроз, оказывающих негативное воздействие на деятельность государства, является коррупция. Коррупция снижает эффективность работы институтов гражданского общества, мешает социально-экономическому развитию государства. Борьба с коррупцией требует много сил как со стороны государства, так и со стороны общества.</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"https://docs.cntd.ru/document/554707087" \l "7D20K3"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Российской Федерации от 25.05.2019 N 662</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утверждена методика проведения социологических исследований в целях оценки уровня коррупции в субъектах Российской Федерации. В соответствии с данной методикой основной целью социологических исследований является оценка уровня, структуры и специфики коррупции, а также эффективности принимаемых антикоррупционных мер. Метод исследования - очное формализованное интервью.</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этой связи для оценки изменения состояния (динамики) в сфере реализации Государственной программы используется стратегический показатель (индикатор) "Доля граждан, считающих высоким уровень коррупции в Самарской области, в общем числе опрошенных граждан, проживающих на территории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textAlignment w:val="baseline"/>
        <w:rPr>
          <w:rFonts w:hint="default" w:ascii="Calibri" w:hAnsi="Calibri" w:cs="Calibri"/>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rPr>
          <w:rFonts w:hint="default" w:ascii="Calibri" w:hAnsi="Calibri" w:cs="Calibri"/>
          <w:lang w:val="en-U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sz w:val="19"/>
          <w:szCs w:val="19"/>
          <w:bdr w:val="none" w:color="auto" w:sz="0" w:space="0"/>
          <w:vertAlign w:val="baseline"/>
        </w:rPr>
        <w:t>3. Сроки и этапы реализации Государственной программы с указанием результатов по каждому этапу</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Программа реализуется в пять этапов в период с 2014 по 2024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02.02.2021 N 41, от 03.10.2022 N 826)</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 этап - 2014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II этап - 2015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III этап - 2016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IV этап - 2017 год;</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V этап - 2018 - 2024 годы.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"https://docs.cntd.ru/document/406244782"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Постановления Правительства Самарской области от 03.10.2022 N 826</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t>4. Описание мер правового и государственного регулирования в сфере реализации Государственной программы, направленных на достижение цели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Правовое регулирование в сфере противодействия коррупции регламентировано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"https://docs.cntd.ru/document/902135263" \l "7D20K3"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Федеральным законом "О противодействии коррупции"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Федеральным законом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"https://docs.cntd.ru/document/420313102"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Федеральным законом от 03.11.2015 N 303-ФЗ "О внесении изменений в отдельные законодательные акты Российской Федерации"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"https://docs.cntd.ru/document/902209895" \l "65C0IR"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Национальной стратегией противодействия коррупции и Национальным планом противодействия коррупции на 2010 - 2011 годы</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утвержденным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"https://docs.cntd.ru/document/902209895"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Указом Президента Российской Федерации от 13.04.2010 N 460</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национальными планами противодействия коррупции на соответствующий период,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"https://docs.cntd.ru/document/420287852"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Указом Президента Российской Федерации от 15.07.2015 N 364 "О мерах по совершенствованию организации деятельности в области противодействия коррупции"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"https://docs.cntd.ru/document/420324166"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"https://docs.cntd.ru/document/945022399"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Законом Самарской области "О противодействии коррупции в Самарской области"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Стратегией социально-экономического развития Самарской области до 2030 года, утвержденной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"https://docs.cntd.ru/document/450278243"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постановлением Правительства Самарской области от 12.07.2017 N 441</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"https://docs.cntd.ru/document/902130343" \l "6560IO"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Концепцией долгосрочного социально-экономического развития Российской Федерации на период до 2020 года</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утвержденной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"https://docs.cntd.ru/document/902130343"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распоряжением Правительства Российской Федерации от 17.11.2008 N 1662-р</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"https://docs.cntd.ru/document/464021292"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постановлением Губернатора Самарской области от 12.10.2015 N 255 "О комиссии по координации работы по противодействию коррупции в Самарской области"</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и иными нормативными правовыми актами.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t>5. Перечень стратегических показателей (индикаторов) Государственной программы с указанием плановых значений по годам ее реализации до 2030 года</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Перечень стратегических показателей (индикаторов) Государственной программы представлен в приложении 1 к Государственной программе. Методика расчета стратегических показателей (индикаторов), характеризующих ежегодный ход и итоги реализации Государственной программы, представлена в приложении 3 к Государственной программе.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t>6. Перечень тактических показателей (индикаторов) Государственной программы с указанием плановых значений по годам ее реализации и за весь период ее реализации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Перечень тактических показателей (индикаторов), характеризующих ежегодный ход и итоги реализации Государственной программы, представлен в приложении 2 к Государственной программе. Методика расчета тактических показателей (индикаторов), характеризующих ежегодный ход и итоги реализации Государственной программы, представлена в приложении 3 к Государственной программе.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jc w:val="center"/>
        <w:textAlignment w:val="baseline"/>
        <w:rPr>
          <w:rFonts w:hint="default" w:ascii="Calibri" w:hAnsi="Calibri" w:cs="Calibri"/>
          <w:b/>
          <w:bCs/>
          <w:sz w:val="19"/>
          <w:szCs w:val="19"/>
        </w:rPr>
      </w:pP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br w:type="textWrapping"/>
      </w:r>
      <w:r>
        <w:rPr>
          <w:rFonts w:hint="default" w:ascii="Calibri" w:hAnsi="Calibri" w:cs="Calibri"/>
          <w:b/>
          <w:bCs/>
          <w:sz w:val="19"/>
          <w:szCs w:val="19"/>
          <w:bdr w:val="none" w:color="auto" w:sz="0" w:space="0"/>
          <w:vertAlign w:val="baseline"/>
        </w:rPr>
        <w:t>7. Информация о ресурсном обеспечении Государственной программы за счет средств областного бюджета</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Общий объем финансирования Государственной программы за счет средств областного бюджета составляет 8 972 тыс. рублей, в том числе:</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02.02.2021 N 41, от 03.10.2022 N 826)</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2014 году - 1 500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2015 году - 1 500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2016 году - 1 275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2017 году - 1 275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2018 году - 1 128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2019 году - 755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"https://docs.cntd.ru/document/550312458"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27.12.2018 N 857</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13.03.2019 N 126,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"https://docs.cntd.ru/document/561629362"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от 27.11.2019 N 854</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2020 году - 855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Calibri" w:hAnsi="Calibri" w:cs="Calibri"/>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firstLine="420"/>
        <w:jc w:val="both"/>
        <w:textAlignment w:val="baseline"/>
        <w:rPr>
          <w:rFonts w:hint="default" w:ascii="Calibri" w:hAnsi="Calibri" w:cs="Calibri"/>
          <w:sz w:val="19"/>
          <w:szCs w:val="19"/>
        </w:rPr>
      </w:pPr>
      <w:r>
        <w:rPr>
          <w:rFonts w:hint="default" w:ascii="Calibri" w:hAnsi="Calibri" w:cs="Calibri"/>
          <w:sz w:val="19"/>
          <w:szCs w:val="19"/>
          <w:bdr w:val="none" w:color="auto" w:sz="0" w:space="0"/>
          <w:vertAlign w:val="baseline"/>
        </w:rPr>
        <w:t>(в ред. </w:t>
      </w:r>
      <w:r>
        <w:rPr>
          <w:rFonts w:hint="default" w:ascii="Calibri" w:hAnsi="Calibri" w:cs="Calibri"/>
          <w:sz w:val="19"/>
          <w:szCs w:val="19"/>
          <w:u w:val="single"/>
          <w:bdr w:val="none" w:color="auto" w:sz="0" w:space="0"/>
          <w:vertAlign w:val="baseline"/>
        </w:rPr>
        <w:fldChar w:fldCharType="begin"/>
      </w:r>
      <w:r>
        <w:rPr>
          <w:rFonts w:hint="default" w:ascii="Calibri" w:hAnsi="Calibri" w:cs="Calibri"/>
          <w:sz w:val="19"/>
          <w:szCs w:val="19"/>
          <w:u w:val="single"/>
          <w:bdr w:val="none" w:color="auto" w:sz="0" w:space="0"/>
          <w:vertAlign w:val="baseline"/>
        </w:rPr>
        <w:instrText xml:space="preserve"> HYPERLINK "https://docs.cntd.ru/document/550312458" </w:instrText>
      </w:r>
      <w:r>
        <w:rPr>
          <w:rFonts w:hint="default" w:ascii="Calibri" w:hAnsi="Calibri" w:cs="Calibri"/>
          <w:sz w:val="19"/>
          <w:szCs w:val="19"/>
          <w:u w:val="single"/>
          <w:bdr w:val="none" w:color="auto" w:sz="0" w:space="0"/>
          <w:vertAlign w:val="baseline"/>
        </w:rPr>
        <w:fldChar w:fldCharType="separate"/>
      </w:r>
      <w:r>
        <w:rPr>
          <w:rStyle w:val="20"/>
          <w:rFonts w:hint="default" w:ascii="Calibri" w:hAnsi="Calibri" w:cs="Calibri"/>
          <w:sz w:val="19"/>
          <w:szCs w:val="19"/>
          <w:u w:val="single"/>
          <w:bdr w:val="none" w:color="auto" w:sz="0" w:space="0"/>
          <w:vertAlign w:val="baseline"/>
        </w:rPr>
        <w:t>Постановлений Правительства Самарской области от 27.12.2018 N 857</w:t>
      </w:r>
      <w:r>
        <w:rPr>
          <w:rFonts w:hint="default" w:ascii="Calibri" w:hAnsi="Calibri" w:cs="Calibri"/>
          <w:sz w:val="19"/>
          <w:szCs w:val="19"/>
          <w:u w:val="single"/>
          <w:bdr w:val="none" w:color="auto" w:sz="0" w:space="0"/>
          <w:vertAlign w:val="baseline"/>
        </w:rPr>
        <w:fldChar w:fldCharType="end"/>
      </w:r>
      <w:r>
        <w:rPr>
          <w:rFonts w:hint="default" w:ascii="Calibri" w:hAnsi="Calibri" w:cs="Calibri"/>
          <w:sz w:val="19"/>
          <w:szCs w:val="19"/>
          <w:bdr w:val="none" w:color="auto" w:sz="0" w:space="0"/>
          <w:vertAlign w:val="baseline"/>
        </w:rPr>
        <w:t>, от 13.03.2019 N 126)</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2021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ред.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"https://docs.cntd.ru/document/550312458"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Постановлений Правительства Самарской области от 27.12.2018 N 857</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от 13.03.2019 N 126, от 02.02.2021 N 41)</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2022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"https://docs.cntd.ru/document/561629362"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27.11.2019 N 854</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в ред.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Постановления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2023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"https://docs.cntd.ru/document/574610822"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02.02.2021 N 41</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2024 году - 171 тыс. рублей.</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"https://docs.cntd.ru/document/406244782"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03.10.2022 N 826</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Финансирование мероприятий, указанных в пунктах 2.4.1, 2.4.2, 2.5.6 приложения 4 к Государственной программе, осуществляется в форме закупки товаров, работ и услуг для государственных нужд, финансирование остальных мероприятий - в рамках средств, предусмотренных на финансирование текущей деятельности ответственного исполнителя и участников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(в ред.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"https://docs.cntd.ru/document/553152656"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Постановлений Правительства Самарской области от 13.03.2019 N 126</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от 03.10.2022 N 826)</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Финансирование мероприятия, предусмотренного пунктом 2.5.8, в период с 2014 года по 2020 год осуществляется в форме закупки товаров, работ и услуг для государственных нужд, в период с 2021 года по 2024 год - в рамках расходов по основной деятельности соответствующих органов исполнительной власти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(абзац введен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"https://docs.cntd.ru/document/406244782"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03.10.2022 N 826</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textAlignment w:val="baseline"/>
        <w:rPr>
          <w:rFonts w:hint="default" w:ascii="Calibri" w:hAnsi="Calibri" w:cs="Calibri"/>
          <w:b/>
          <w:bCs/>
          <w:i w:val="0"/>
          <w:iCs w:val="0"/>
          <w:caps w:val="0"/>
          <w:color w:val="444444"/>
          <w:spacing w:val="0"/>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t>7.1. Механизм реализации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br w:type="textWrapping"/>
      </w:r>
      <w:r>
        <w:rPr>
          <w:rFonts w:hint="default" w:ascii="Calibri" w:hAnsi="Calibri" w:cs="Calibri"/>
          <w:i w:val="0"/>
          <w:iCs w:val="0"/>
          <w:caps w:val="0"/>
          <w:color w:val="444444"/>
          <w:spacing w:val="0"/>
          <w:sz w:val="19"/>
          <w:szCs w:val="19"/>
          <w:bdr w:val="none" w:color="auto" w:sz="0" w:space="0"/>
          <w:shd w:val="clear" w:fill="FFFFFF"/>
          <w:vertAlign w:val="baseline"/>
        </w:rPr>
        <w:t>(введен Постановлением Правительства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от 02.02.2021 N 41)</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Текущее управление реализацией Государственной программой осуществляет ответственный исполнитель Государственной программы - департамент по вопросам правопорядка и противодействия коррупции Самарской области.</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Управление и контроль за ходом реализации Государственной программы осуществляется в соответствии с действующим законодательством, в том числе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"https://docs.cntd.ru/document/464006119" \l "2EOKM65"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Порядком принятия решений о разработке, формирования и реализации государственных программ Самарской области</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 утвержденным </w:t>
      </w:r>
      <w:r>
        <w:rPr>
          <w:rFonts w:hint="default" w:ascii="Calibri" w:hAnsi="Calibri" w:cs="Calibri"/>
          <w:i w:val="0"/>
          <w:iCs w:val="0"/>
          <w:caps w:val="0"/>
          <w:spacing w:val="0"/>
          <w:sz w:val="19"/>
          <w:szCs w:val="19"/>
          <w:u w:val="single"/>
          <w:bdr w:val="none" w:color="auto" w:sz="0" w:space="0"/>
          <w:shd w:val="clear" w:fill="FFFFFF"/>
          <w:vertAlign w:val="baseline"/>
        </w:rPr>
        <w:fldChar w:fldCharType="begin"/>
      </w:r>
      <w:r>
        <w:rPr>
          <w:rFonts w:hint="default" w:ascii="Calibri" w:hAnsi="Calibri" w:cs="Calibri"/>
          <w:i w:val="0"/>
          <w:iCs w:val="0"/>
          <w:caps w:val="0"/>
          <w:spacing w:val="0"/>
          <w:sz w:val="19"/>
          <w:szCs w:val="19"/>
          <w:u w:val="single"/>
          <w:bdr w:val="none" w:color="auto" w:sz="0" w:space="0"/>
          <w:shd w:val="clear" w:fill="FFFFFF"/>
          <w:vertAlign w:val="baseline"/>
        </w:rPr>
        <w:instrText xml:space="preserve"> HYPERLINK "https://docs.cntd.ru/document/464006119" </w:instrText>
      </w:r>
      <w:r>
        <w:rPr>
          <w:rFonts w:hint="default" w:ascii="Calibri" w:hAnsi="Calibri" w:cs="Calibri"/>
          <w:i w:val="0"/>
          <w:iCs w:val="0"/>
          <w:caps w:val="0"/>
          <w:spacing w:val="0"/>
          <w:sz w:val="19"/>
          <w:szCs w:val="19"/>
          <w:u w:val="single"/>
          <w:bdr w:val="none" w:color="auto" w:sz="0" w:space="0"/>
          <w:shd w:val="clear" w:fill="FFFFFF"/>
          <w:vertAlign w:val="baseline"/>
        </w:rPr>
        <w:fldChar w:fldCharType="separate"/>
      </w:r>
      <w:r>
        <w:rPr>
          <w:rStyle w:val="20"/>
          <w:rFonts w:hint="default" w:ascii="Calibri" w:hAnsi="Calibri" w:cs="Calibri"/>
          <w:i w:val="0"/>
          <w:iCs w:val="0"/>
          <w:caps w:val="0"/>
          <w:spacing w:val="0"/>
          <w:sz w:val="19"/>
          <w:szCs w:val="19"/>
          <w:u w:val="single"/>
          <w:bdr w:val="none" w:color="auto" w:sz="0" w:space="0"/>
          <w:shd w:val="clear" w:fill="FFFFFF"/>
          <w:vertAlign w:val="baseline"/>
        </w:rPr>
        <w:t>постановлением Правительства Самарской области от 20.09.2013 N 498</w:t>
      </w:r>
      <w:r>
        <w:rPr>
          <w:rFonts w:hint="default" w:ascii="Calibri" w:hAnsi="Calibri" w:cs="Calibri"/>
          <w:i w:val="0"/>
          <w:iCs w:val="0"/>
          <w:caps w:val="0"/>
          <w:spacing w:val="0"/>
          <w:sz w:val="19"/>
          <w:szCs w:val="19"/>
          <w:u w:val="single"/>
          <w:bdr w:val="none" w:color="auto" w:sz="0" w:space="0"/>
          <w:shd w:val="clear" w:fill="FFFFFF"/>
          <w:vertAlign w:val="baseline"/>
        </w:rPr>
        <w:fldChar w:fldCharType="end"/>
      </w:r>
      <w:r>
        <w:rPr>
          <w:rFonts w:hint="default" w:ascii="Calibri" w:hAnsi="Calibri" w:cs="Calibri"/>
          <w:i w:val="0"/>
          <w:iCs w:val="0"/>
          <w:caps w:val="0"/>
          <w:color w:val="444444"/>
          <w:spacing w:val="0"/>
          <w:sz w:val="19"/>
          <w:szCs w:val="19"/>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textAlignment w:val="baseline"/>
        <w:rPr>
          <w:rFonts w:hint="default" w:ascii="Calibri" w:hAnsi="Calibri" w:cs="Calibri"/>
          <w:b/>
          <w:bCs/>
          <w:i w:val="0"/>
          <w:iCs w:val="0"/>
          <w:caps w:val="0"/>
          <w:color w:val="444444"/>
          <w:spacing w:val="0"/>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t>8. Перечень мероприятий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i w:val="0"/>
          <w:iCs w:val="0"/>
          <w:caps w:val="0"/>
          <w:color w:val="444444"/>
          <w:spacing w:val="0"/>
          <w:sz w:val="19"/>
          <w:szCs w:val="19"/>
        </w:rPr>
      </w:pPr>
      <w:r>
        <w:rPr>
          <w:rFonts w:hint="default" w:ascii="Calibri" w:hAnsi="Calibri" w:cs="Calibri"/>
          <w:i w:val="0"/>
          <w:iCs w:val="0"/>
          <w:caps w:val="0"/>
          <w:color w:val="444444"/>
          <w:spacing w:val="0"/>
          <w:sz w:val="19"/>
          <w:szCs w:val="19"/>
          <w:bdr w:val="none" w:color="auto" w:sz="0" w:space="0"/>
          <w:shd w:val="clear" w:fill="FFFFFF"/>
          <w:vertAlign w:val="baseline"/>
        </w:rPr>
        <w:t>Перечень мероприятий Государственной программы указан в Приложении 4 к Государственной программе.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textAlignment w:val="baseline"/>
        <w:rPr>
          <w:rFonts w:hint="default" w:ascii="Calibri" w:hAnsi="Calibri" w:cs="Calibri"/>
          <w:b/>
          <w:bCs/>
          <w:i w:val="0"/>
          <w:iCs w:val="0"/>
          <w:caps w:val="0"/>
          <w:color w:val="444444"/>
          <w:spacing w:val="0"/>
          <w:sz w:val="19"/>
          <w:szCs w:val="19"/>
        </w:rPr>
      </w:pP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br w:type="textWrapping"/>
      </w:r>
      <w:r>
        <w:rPr>
          <w:rFonts w:hint="default" w:ascii="Calibri" w:hAnsi="Calibri" w:cs="Calibri"/>
          <w:b/>
          <w:bCs/>
          <w:i w:val="0"/>
          <w:iCs w:val="0"/>
          <w:caps w:val="0"/>
          <w:color w:val="444444"/>
          <w:spacing w:val="0"/>
          <w:sz w:val="19"/>
          <w:szCs w:val="19"/>
          <w:bdr w:val="none" w:color="auto" w:sz="0" w:space="0"/>
          <w:shd w:val="clear" w:fill="FFFFFF"/>
          <w:vertAlign w:val="baseline"/>
        </w:rPr>
        <w:t>9. Методика комплексной оценки эффективности реализации Государственной программы</w:t>
      </w: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Calibri" w:hAnsi="Calibri" w:cs="Calibri"/>
          <w:i w:val="0"/>
          <w:iCs w:val="0"/>
          <w:caps w:val="0"/>
          <w:color w:val="444444"/>
          <w:spacing w:val="0"/>
          <w:sz w:val="19"/>
          <w:szCs w:val="19"/>
        </w:rPr>
      </w:pPr>
    </w:p>
    <w:p>
      <w:pPr>
        <w:pStyle w:val="9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textAlignment w:val="baseline"/>
        <w:rPr>
          <w:rFonts w:hint="default" w:ascii="Calibri" w:hAnsi="Calibri" w:cs="Calibri"/>
          <w:lang w:val="en-US"/>
        </w:rPr>
      </w:pPr>
      <w:r>
        <w:rPr>
          <w:rFonts w:hint="default" w:ascii="Calibri" w:hAnsi="Calibri" w:cs="Calibri"/>
          <w:i w:val="0"/>
          <w:iCs w:val="0"/>
          <w:caps w:val="0"/>
          <w:color w:val="444444"/>
          <w:spacing w:val="0"/>
          <w:sz w:val="19"/>
          <w:szCs w:val="19"/>
          <w:bdr w:val="none" w:color="auto" w:sz="0" w:space="0"/>
          <w:shd w:val="clear" w:fill="FFFFFF"/>
          <w:vertAlign w:val="baseline"/>
        </w:rPr>
        <w:t>Методика комплексной оценки эффективности реализации Государственной программы приведена в приложении 5 к Государственной программе.</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5012FD6"/>
    <w:rsid w:val="37FE492F"/>
    <w:rsid w:val="3D2E204C"/>
    <w:rsid w:val="4EC1329E"/>
    <w:rsid w:val="5F8615E6"/>
    <w:rsid w:val="64381BDD"/>
    <w:rsid w:val="74A1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40" w:lineRule="auto"/>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uiPriority w:val="0"/>
  </w:style>
  <w:style w:type="character" w:styleId="25">
    <w:name w:val="HTML Definition"/>
    <w:basedOn w:val="11"/>
    <w:qFormat/>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40" w:lineRule="auto"/>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2022-06-27T08:36:00Z</dcterms:created>
  <dc:creator>asus</dc:creator>
  <cp:lastModifiedBy>asus</cp:lastModifiedBy>
  <dcterms:modified xsi:type="dcterms:W3CDTF">2023-11-23T19:22:55Z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2CBC06D76B4D46589A105DB712FC2725_13</vt:lpwstr>
  </property>
</Properties>
</file>