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Приложение 5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 Государственной программе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"Противодействие коррупции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МЕТОДИКА КОМПЛЕКСНОЙ ОЦЕНКИ ЭФФЕКТИВНОСТИ РЕАЛИЗАЦИИ ГОСУДАРСТВЕННОЙ ПРОГРАММЫ САМАРСКОЙ ОБЛАСТИ "ПРОТИВОДЕЙСТВИЕ КОРРУПЦИИ В САМАРСКОЙ ОБЛАСТИ 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"https://docs.cntd.ru/document/561629362"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Постановлений Правительства Самарской области от 27.11.2019 N 854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02.02.2021 N 41, от 03.10.2022 N 826)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Комплексная оценка эффективности реализации государственной программы Самарской области "Противодействие коррупции в Самарской области на 2014 - 2024 годы" (далее - Государственная программа) осуществляется ежегодно в течение всего срока реализации и по окончании ее реализации и включает в себя оценку степени выполнения мероприятий Государственной программы и оценку эффективности ее реализации.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"https://docs.cntd.ru/document/561629362"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Постановлений Правительства Самарской области от 27.11.2019 N 854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02.02.2021 N 41, от 03.10.2022 N 826)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Комплексная оценка эффективности реализации Государственной программы осуществляется с учетом критериев, изложенных в приложении 5 к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"https://docs.cntd.ru/document/464006119" \l "2EOKM65"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Порядку принятия решений о разработке, формирования и реализации государственных программ Самарской области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утвержденному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"https://docs.cntd.ru/document/464006119"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постановлением Правительства Самарской области от 20.09.2013 N 498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 Оценка степени выполнения мероприятий Государственной программы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Оценка степени выполнения мероприятий Государственной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запланированных к выполнению мероприятий в отчетном году.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Степень выполнения мероприятий Государственной программы по окончании ее реализации рассчитывается как отношение количества мероприятий, выполненных за весь период реализации Государственной программы, к общему количеству запланированных к выполнению мероприятий за весь период ее реализации.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 Оценка эффективности реализации Государственной программы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Эффективность реализации Государственной программы рассчитывается путем соотнесения степени достижения тактических показателей (индикаторов) Государственной программы с учетом объема ресурсов, предусмотренных на реализацию Государственной программы, а также направленных на их реализацию.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Показатель эффективности реализации Государственной программы (R) за отчетный год рассчитывается по формуле: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1924050" cy="1047750"/>
            <wp:effectExtent l="0" t="0" r="11430" b="3810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где N - количество тактических показателей (индикаторов) Государственной программы;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85775" cy="276225"/>
            <wp:effectExtent l="0" t="0" r="1905" b="13335"/>
            <wp:docPr id="4" name="Изображение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- плановое значение n-го тактического показателя (индикатора) в соответствии с объемом ресурсов, предусмотренных и направленных на реализацию Государственной программы;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66725" cy="276225"/>
            <wp:effectExtent l="0" t="0" r="5715" b="13335"/>
            <wp:docPr id="6" name="Изображение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- фактическое значение n-го тактического показателя (индикатора) на конец отчетного года;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FПлан. - объем ресурсов, предусмотренных (направленных) на реализацию Государственной программы в отчетном году;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FФакт. - объем ресурсов, освоенных в ходе реализации Государственной программы на конец отчетного года.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Для расчета показателя эффективности реализации Государственной программы используются тактические показатели (индикаторы), достижение значений которых запланировано в отчетном году. В случае если фактическое значение n-го тактического показателя (индикатора) превысило его плановое значение более чем на 30%, степень достижения данного тактического показателя (индикатора) принимается равной 130%.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Оценка эффективности реализации Государственной программы за весь период ее реализации рассчитывается как среднее арифметическое показателей эффективности реализации Государственной программы за все отчетные годы.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012FD6"/>
    <w:rsid w:val="2A6812B6"/>
    <w:rsid w:val="37FE492F"/>
    <w:rsid w:val="3D2E204C"/>
    <w:rsid w:val="4EC1329E"/>
    <w:rsid w:val="5F8615E6"/>
    <w:rsid w:val="61315CFD"/>
    <w:rsid w:val="64381BDD"/>
    <w:rsid w:val="69C60AB9"/>
    <w:rsid w:val="74A1695F"/>
    <w:rsid w:val="7C5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374E18ADA88E4D6FB5969A805F271200_13</vt:lpwstr>
  </property>
</Properties>
</file>